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6D1E0" w14:textId="77777777" w:rsidR="004C5981" w:rsidRPr="008F13E9" w:rsidRDefault="00CC4534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VHL: Annual General Mandate 2016</w:t>
      </w:r>
    </w:p>
    <w:p w14:paraId="00BE4D81" w14:textId="77777777" w:rsidR="00CC4534" w:rsidRPr="008F13E9" w:rsidRDefault="00CC4534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 xml:space="preserve">On 29/03/2016, </w:t>
      </w:r>
      <w:proofErr w:type="spellStart"/>
      <w:r w:rsidRPr="008F13E9">
        <w:rPr>
          <w:rFonts w:ascii="Arial" w:hAnsi="Arial" w:cs="Arial"/>
          <w:color w:val="411517"/>
        </w:rPr>
        <w:t>Viglacera</w:t>
      </w:r>
      <w:proofErr w:type="spellEnd"/>
      <w:r w:rsidRPr="008F13E9">
        <w:rPr>
          <w:rFonts w:ascii="Arial" w:hAnsi="Arial" w:cs="Arial"/>
          <w:color w:val="411517"/>
        </w:rPr>
        <w:t xml:space="preserve"> Ha Long JSC announced the </w:t>
      </w:r>
      <w:r w:rsidRPr="008F13E9">
        <w:rPr>
          <w:rFonts w:ascii="Arial" w:hAnsi="Arial" w:cs="Arial"/>
        </w:rPr>
        <w:t>Annual General Mandate 2016 as follows:</w:t>
      </w:r>
    </w:p>
    <w:p w14:paraId="1FAFFA26" w14:textId="77777777" w:rsidR="00CC4534" w:rsidRPr="008F13E9" w:rsidRDefault="006D3B27" w:rsidP="00CF1A2D">
      <w:pPr>
        <w:jc w:val="both"/>
        <w:rPr>
          <w:rFonts w:ascii="Arial" w:hAnsi="Arial" w:cs="Arial"/>
          <w:color w:val="411517"/>
        </w:rPr>
      </w:pPr>
      <w:r w:rsidRPr="008F13E9">
        <w:rPr>
          <w:rFonts w:ascii="Arial" w:hAnsi="Arial" w:cs="Arial"/>
        </w:rPr>
        <w:t xml:space="preserve">Article 1: Annual General Meeting of shareholders </w:t>
      </w:r>
      <w:proofErr w:type="gramStart"/>
      <w:r w:rsidRPr="008F13E9">
        <w:rPr>
          <w:rFonts w:ascii="Arial" w:hAnsi="Arial" w:cs="Arial"/>
        </w:rPr>
        <w:t>approve</w:t>
      </w:r>
      <w:proofErr w:type="gramEnd"/>
      <w:r w:rsidRPr="008F13E9">
        <w:rPr>
          <w:rFonts w:ascii="Arial" w:hAnsi="Arial" w:cs="Arial"/>
        </w:rPr>
        <w:t xml:space="preserve"> appointing Mr. Nguyen </w:t>
      </w:r>
      <w:proofErr w:type="spellStart"/>
      <w:r w:rsidRPr="008F13E9">
        <w:rPr>
          <w:rFonts w:ascii="Arial" w:hAnsi="Arial" w:cs="Arial"/>
        </w:rPr>
        <w:t>Anh</w:t>
      </w:r>
      <w:proofErr w:type="spellEnd"/>
      <w:r w:rsidRPr="008F13E9">
        <w:rPr>
          <w:rFonts w:ascii="Arial" w:hAnsi="Arial" w:cs="Arial"/>
        </w:rPr>
        <w:t xml:space="preserve"> Tuan (year of birth 1966, Master Degree of Business Administration, Engineer of Mine Economy, Bachelor of Business Law, currently holding Deputy General Manager position at </w:t>
      </w:r>
      <w:proofErr w:type="spellStart"/>
      <w:r w:rsidRPr="008F13E9">
        <w:rPr>
          <w:rFonts w:ascii="Arial" w:hAnsi="Arial" w:cs="Arial"/>
        </w:rPr>
        <w:t>Viglacera</w:t>
      </w:r>
      <w:proofErr w:type="spellEnd"/>
      <w:r w:rsidRPr="008F13E9">
        <w:rPr>
          <w:rFonts w:ascii="Arial" w:hAnsi="Arial" w:cs="Arial"/>
        </w:rPr>
        <w:t xml:space="preserve">) as member of Board of Directors cum Chair of Board of Directors of </w:t>
      </w:r>
      <w:proofErr w:type="spellStart"/>
      <w:r w:rsidRPr="008F13E9">
        <w:rPr>
          <w:rFonts w:ascii="Arial" w:hAnsi="Arial" w:cs="Arial"/>
          <w:color w:val="411517"/>
        </w:rPr>
        <w:t>Viglacer</w:t>
      </w:r>
      <w:bookmarkStart w:id="0" w:name="_GoBack"/>
      <w:bookmarkEnd w:id="0"/>
      <w:r w:rsidRPr="008F13E9">
        <w:rPr>
          <w:rFonts w:ascii="Arial" w:hAnsi="Arial" w:cs="Arial"/>
          <w:color w:val="411517"/>
        </w:rPr>
        <w:t>a</w:t>
      </w:r>
      <w:proofErr w:type="spellEnd"/>
      <w:r w:rsidRPr="008F13E9">
        <w:rPr>
          <w:rFonts w:ascii="Arial" w:hAnsi="Arial" w:cs="Arial"/>
          <w:color w:val="411517"/>
        </w:rPr>
        <w:t xml:space="preserve"> Ha Long JSC.</w:t>
      </w:r>
    </w:p>
    <w:p w14:paraId="3D1C44B2" w14:textId="77777777" w:rsidR="006D3B27" w:rsidRPr="008F13E9" w:rsidRDefault="006D3B27" w:rsidP="00CF1A2D">
      <w:pPr>
        <w:jc w:val="both"/>
        <w:rPr>
          <w:rFonts w:ascii="Arial" w:hAnsi="Arial" w:cs="Arial"/>
          <w:color w:val="411517"/>
        </w:rPr>
      </w:pPr>
      <w:r w:rsidRPr="008F13E9">
        <w:rPr>
          <w:rFonts w:ascii="Arial" w:hAnsi="Arial" w:cs="Arial"/>
          <w:color w:val="411517"/>
        </w:rPr>
        <w:t>Rate of agreed votes: 100%</w:t>
      </w:r>
    </w:p>
    <w:p w14:paraId="00842B2F" w14:textId="77777777" w:rsidR="006D3B27" w:rsidRPr="008F13E9" w:rsidRDefault="006D3B27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Article 2: Annual General Meeting of shareholders approves Statement of Board of Directors, General Manager Board and Supervisory Board on operation result 2015 and the oriented operation plan of 2016.</w:t>
      </w:r>
    </w:p>
    <w:p w14:paraId="69796304" w14:textId="77777777" w:rsidR="006D3B27" w:rsidRPr="008F13E9" w:rsidRDefault="006D3B27" w:rsidP="00CF1A2D">
      <w:pPr>
        <w:jc w:val="both"/>
        <w:rPr>
          <w:rFonts w:ascii="Arial" w:hAnsi="Arial" w:cs="Arial"/>
          <w:color w:val="411517"/>
        </w:rPr>
      </w:pPr>
      <w:r w:rsidRPr="008F13E9">
        <w:rPr>
          <w:rFonts w:ascii="Arial" w:hAnsi="Arial" w:cs="Arial"/>
          <w:color w:val="411517"/>
        </w:rPr>
        <w:t>Rate of agreed votes: 100%</w:t>
      </w:r>
    </w:p>
    <w:p w14:paraId="70D89274" w14:textId="77777777" w:rsidR="006D3B27" w:rsidRPr="008F13E9" w:rsidRDefault="006D3B27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Article 3: Annual General Meeting of shareholders approve operation result 2015 and audited financial statement 2015, audited by AASC Auditing Company Limited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305"/>
        <w:gridCol w:w="847"/>
        <w:gridCol w:w="1243"/>
        <w:gridCol w:w="1206"/>
        <w:gridCol w:w="1292"/>
        <w:gridCol w:w="1268"/>
        <w:gridCol w:w="1194"/>
      </w:tblGrid>
      <w:tr w:rsidR="006D3B27" w:rsidRPr="008F13E9" w14:paraId="3228E61C" w14:textId="77777777" w:rsidTr="00C86806">
        <w:tc>
          <w:tcPr>
            <w:tcW w:w="488" w:type="dxa"/>
          </w:tcPr>
          <w:p w14:paraId="3F775710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No</w:t>
            </w:r>
          </w:p>
        </w:tc>
        <w:tc>
          <w:tcPr>
            <w:tcW w:w="1279" w:type="dxa"/>
          </w:tcPr>
          <w:p w14:paraId="6053E271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Norms</w:t>
            </w:r>
          </w:p>
        </w:tc>
        <w:tc>
          <w:tcPr>
            <w:tcW w:w="891" w:type="dxa"/>
          </w:tcPr>
          <w:p w14:paraId="0D22FCE5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Units</w:t>
            </w:r>
          </w:p>
        </w:tc>
        <w:tc>
          <w:tcPr>
            <w:tcW w:w="1195" w:type="dxa"/>
          </w:tcPr>
          <w:p w14:paraId="124C89A1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Competed in 2014</w:t>
            </w:r>
          </w:p>
        </w:tc>
        <w:tc>
          <w:tcPr>
            <w:tcW w:w="1180" w:type="dxa"/>
          </w:tcPr>
          <w:p w14:paraId="1D488DF4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Plan of 2015</w:t>
            </w:r>
          </w:p>
        </w:tc>
        <w:tc>
          <w:tcPr>
            <w:tcW w:w="1256" w:type="dxa"/>
          </w:tcPr>
          <w:p w14:paraId="037A806B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Completed in 2015</w:t>
            </w:r>
          </w:p>
        </w:tc>
        <w:tc>
          <w:tcPr>
            <w:tcW w:w="1322" w:type="dxa"/>
          </w:tcPr>
          <w:p w14:paraId="0D9D33E2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2015/2014</w:t>
            </w:r>
          </w:p>
        </w:tc>
        <w:tc>
          <w:tcPr>
            <w:tcW w:w="1245" w:type="dxa"/>
          </w:tcPr>
          <w:p w14:paraId="62DC229E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2015/plan of 2015 (%)</w:t>
            </w:r>
          </w:p>
        </w:tc>
      </w:tr>
      <w:tr w:rsidR="006D3B27" w:rsidRPr="008F13E9" w14:paraId="3CFE725D" w14:textId="77777777" w:rsidTr="00C86806">
        <w:tc>
          <w:tcPr>
            <w:tcW w:w="488" w:type="dxa"/>
          </w:tcPr>
          <w:p w14:paraId="66108A6C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</w:t>
            </w:r>
          </w:p>
        </w:tc>
        <w:tc>
          <w:tcPr>
            <w:tcW w:w="1279" w:type="dxa"/>
          </w:tcPr>
          <w:p w14:paraId="239B51AA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Revenue</w:t>
            </w:r>
          </w:p>
        </w:tc>
        <w:tc>
          <w:tcPr>
            <w:tcW w:w="891" w:type="dxa"/>
          </w:tcPr>
          <w:p w14:paraId="1898A6F9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Million dongs</w:t>
            </w:r>
          </w:p>
        </w:tc>
        <w:tc>
          <w:tcPr>
            <w:tcW w:w="1195" w:type="dxa"/>
          </w:tcPr>
          <w:p w14:paraId="334A6B7C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1,441,087</w:t>
            </w:r>
          </w:p>
        </w:tc>
        <w:tc>
          <w:tcPr>
            <w:tcW w:w="1180" w:type="dxa"/>
          </w:tcPr>
          <w:p w14:paraId="490A4365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1,558,000</w:t>
            </w:r>
          </w:p>
        </w:tc>
        <w:tc>
          <w:tcPr>
            <w:tcW w:w="1256" w:type="dxa"/>
          </w:tcPr>
          <w:p w14:paraId="29C8613E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1,561,482</w:t>
            </w:r>
          </w:p>
        </w:tc>
        <w:tc>
          <w:tcPr>
            <w:tcW w:w="1322" w:type="dxa"/>
          </w:tcPr>
          <w:p w14:paraId="0747626A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108.4</w:t>
            </w:r>
          </w:p>
        </w:tc>
        <w:tc>
          <w:tcPr>
            <w:tcW w:w="1245" w:type="dxa"/>
          </w:tcPr>
          <w:p w14:paraId="58973CA5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100.2</w:t>
            </w:r>
          </w:p>
        </w:tc>
      </w:tr>
      <w:tr w:rsidR="006D3B27" w:rsidRPr="008F13E9" w14:paraId="37B7EF4F" w14:textId="77777777" w:rsidTr="00C86806">
        <w:tc>
          <w:tcPr>
            <w:tcW w:w="488" w:type="dxa"/>
          </w:tcPr>
          <w:p w14:paraId="08762D42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2</w:t>
            </w:r>
          </w:p>
        </w:tc>
        <w:tc>
          <w:tcPr>
            <w:tcW w:w="1279" w:type="dxa"/>
          </w:tcPr>
          <w:p w14:paraId="38B2FDCA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Before tax profit</w:t>
            </w:r>
          </w:p>
        </w:tc>
        <w:tc>
          <w:tcPr>
            <w:tcW w:w="891" w:type="dxa"/>
          </w:tcPr>
          <w:p w14:paraId="45BF0CCB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Million dongs</w:t>
            </w:r>
          </w:p>
        </w:tc>
        <w:tc>
          <w:tcPr>
            <w:tcW w:w="1195" w:type="dxa"/>
          </w:tcPr>
          <w:p w14:paraId="4D5A9C7D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107,027</w:t>
            </w:r>
          </w:p>
        </w:tc>
        <w:tc>
          <w:tcPr>
            <w:tcW w:w="1180" w:type="dxa"/>
          </w:tcPr>
          <w:p w14:paraId="283251F6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126,100</w:t>
            </w:r>
          </w:p>
        </w:tc>
        <w:tc>
          <w:tcPr>
            <w:tcW w:w="1256" w:type="dxa"/>
          </w:tcPr>
          <w:p w14:paraId="2D7F0915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129,109</w:t>
            </w:r>
          </w:p>
        </w:tc>
        <w:tc>
          <w:tcPr>
            <w:tcW w:w="1322" w:type="dxa"/>
          </w:tcPr>
          <w:p w14:paraId="7D8C45BD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121</w:t>
            </w:r>
          </w:p>
        </w:tc>
        <w:tc>
          <w:tcPr>
            <w:tcW w:w="1245" w:type="dxa"/>
          </w:tcPr>
          <w:p w14:paraId="095C5F12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102.4</w:t>
            </w:r>
          </w:p>
        </w:tc>
      </w:tr>
      <w:tr w:rsidR="006D3B27" w:rsidRPr="008F13E9" w14:paraId="0A316AF0" w14:textId="77777777" w:rsidTr="00C86806">
        <w:tc>
          <w:tcPr>
            <w:tcW w:w="488" w:type="dxa"/>
          </w:tcPr>
          <w:p w14:paraId="26648543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3</w:t>
            </w:r>
          </w:p>
        </w:tc>
        <w:tc>
          <w:tcPr>
            <w:tcW w:w="1279" w:type="dxa"/>
          </w:tcPr>
          <w:p w14:paraId="795933D4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Basic depression</w:t>
            </w:r>
          </w:p>
        </w:tc>
        <w:tc>
          <w:tcPr>
            <w:tcW w:w="891" w:type="dxa"/>
          </w:tcPr>
          <w:p w14:paraId="6E2639B5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Million dongs</w:t>
            </w:r>
          </w:p>
        </w:tc>
        <w:tc>
          <w:tcPr>
            <w:tcW w:w="1195" w:type="dxa"/>
          </w:tcPr>
          <w:p w14:paraId="4B80D1F5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71,992</w:t>
            </w:r>
          </w:p>
        </w:tc>
        <w:tc>
          <w:tcPr>
            <w:tcW w:w="1180" w:type="dxa"/>
          </w:tcPr>
          <w:p w14:paraId="280391ED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74,352</w:t>
            </w:r>
          </w:p>
        </w:tc>
        <w:tc>
          <w:tcPr>
            <w:tcW w:w="1256" w:type="dxa"/>
          </w:tcPr>
          <w:p w14:paraId="2C01F67C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66,900</w:t>
            </w:r>
          </w:p>
        </w:tc>
        <w:tc>
          <w:tcPr>
            <w:tcW w:w="1322" w:type="dxa"/>
          </w:tcPr>
          <w:p w14:paraId="6259AE2A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92.9</w:t>
            </w:r>
          </w:p>
        </w:tc>
        <w:tc>
          <w:tcPr>
            <w:tcW w:w="1245" w:type="dxa"/>
          </w:tcPr>
          <w:p w14:paraId="257B672A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103.0</w:t>
            </w:r>
          </w:p>
        </w:tc>
      </w:tr>
      <w:tr w:rsidR="006D3B27" w:rsidRPr="008F13E9" w14:paraId="776FFD7B" w14:textId="77777777" w:rsidTr="00C86806">
        <w:tc>
          <w:tcPr>
            <w:tcW w:w="488" w:type="dxa"/>
          </w:tcPr>
          <w:p w14:paraId="24E020E7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4</w:t>
            </w:r>
          </w:p>
        </w:tc>
        <w:tc>
          <w:tcPr>
            <w:tcW w:w="1279" w:type="dxa"/>
          </w:tcPr>
          <w:p w14:paraId="455AFBBC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Average income</w:t>
            </w:r>
          </w:p>
        </w:tc>
        <w:tc>
          <w:tcPr>
            <w:tcW w:w="891" w:type="dxa"/>
          </w:tcPr>
          <w:p w14:paraId="4E782F84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1000 dongs</w:t>
            </w:r>
          </w:p>
        </w:tc>
        <w:tc>
          <w:tcPr>
            <w:tcW w:w="1195" w:type="dxa"/>
          </w:tcPr>
          <w:p w14:paraId="73C3BB15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6,750</w:t>
            </w:r>
          </w:p>
        </w:tc>
        <w:tc>
          <w:tcPr>
            <w:tcW w:w="1180" w:type="dxa"/>
          </w:tcPr>
          <w:p w14:paraId="36ED168E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6,893</w:t>
            </w:r>
          </w:p>
        </w:tc>
        <w:tc>
          <w:tcPr>
            <w:tcW w:w="1256" w:type="dxa"/>
          </w:tcPr>
          <w:p w14:paraId="40871E3A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7,100</w:t>
            </w:r>
          </w:p>
        </w:tc>
        <w:tc>
          <w:tcPr>
            <w:tcW w:w="1322" w:type="dxa"/>
          </w:tcPr>
          <w:p w14:paraId="1A9F6C57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105.2</w:t>
            </w:r>
          </w:p>
        </w:tc>
        <w:tc>
          <w:tcPr>
            <w:tcW w:w="1245" w:type="dxa"/>
          </w:tcPr>
          <w:p w14:paraId="710C1434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103.2</w:t>
            </w:r>
          </w:p>
        </w:tc>
      </w:tr>
      <w:tr w:rsidR="006D3B27" w:rsidRPr="008F13E9" w14:paraId="391EECAC" w14:textId="77777777" w:rsidTr="00C86806">
        <w:tc>
          <w:tcPr>
            <w:tcW w:w="488" w:type="dxa"/>
          </w:tcPr>
          <w:p w14:paraId="1E5C5BC9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5</w:t>
            </w:r>
          </w:p>
        </w:tc>
        <w:tc>
          <w:tcPr>
            <w:tcW w:w="1279" w:type="dxa"/>
          </w:tcPr>
          <w:p w14:paraId="5839EA7C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Payment to State budget</w:t>
            </w:r>
          </w:p>
        </w:tc>
        <w:tc>
          <w:tcPr>
            <w:tcW w:w="891" w:type="dxa"/>
          </w:tcPr>
          <w:p w14:paraId="40E5874A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Million dongs</w:t>
            </w:r>
          </w:p>
        </w:tc>
        <w:tc>
          <w:tcPr>
            <w:tcW w:w="1195" w:type="dxa"/>
          </w:tcPr>
          <w:p w14:paraId="4083FF78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79,283</w:t>
            </w:r>
          </w:p>
        </w:tc>
        <w:tc>
          <w:tcPr>
            <w:tcW w:w="1180" w:type="dxa"/>
          </w:tcPr>
          <w:p w14:paraId="22EC736A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98,678</w:t>
            </w:r>
          </w:p>
        </w:tc>
        <w:tc>
          <w:tcPr>
            <w:tcW w:w="1256" w:type="dxa"/>
          </w:tcPr>
          <w:p w14:paraId="641474A9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102,717</w:t>
            </w:r>
          </w:p>
        </w:tc>
        <w:tc>
          <w:tcPr>
            <w:tcW w:w="1322" w:type="dxa"/>
          </w:tcPr>
          <w:p w14:paraId="7FCC5859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129.6</w:t>
            </w:r>
          </w:p>
        </w:tc>
        <w:tc>
          <w:tcPr>
            <w:tcW w:w="1245" w:type="dxa"/>
          </w:tcPr>
          <w:p w14:paraId="5D66502E" w14:textId="77777777" w:rsidR="006D3B27" w:rsidRPr="008F13E9" w:rsidRDefault="00C86806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104.1</w:t>
            </w:r>
          </w:p>
        </w:tc>
      </w:tr>
      <w:tr w:rsidR="006D3B27" w:rsidRPr="008F13E9" w14:paraId="1E3E01B4" w14:textId="77777777" w:rsidTr="00C86806">
        <w:tc>
          <w:tcPr>
            <w:tcW w:w="488" w:type="dxa"/>
          </w:tcPr>
          <w:p w14:paraId="726A54E7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14:paraId="74481AA0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14:paraId="0D325DF2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5" w:type="dxa"/>
          </w:tcPr>
          <w:p w14:paraId="604ABD17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2E4513B1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14:paraId="2B113C34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4F3F54A2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4B9E981A" w14:textId="77777777" w:rsidR="006D3B27" w:rsidRPr="008F13E9" w:rsidRDefault="006D3B27" w:rsidP="00CF1A2D">
            <w:pPr>
              <w:jc w:val="both"/>
              <w:rPr>
                <w:rFonts w:ascii="Arial" w:hAnsi="Arial" w:cs="Arial"/>
              </w:rPr>
            </w:pPr>
          </w:p>
        </w:tc>
      </w:tr>
    </w:tbl>
    <w:p w14:paraId="4BD40B37" w14:textId="77777777" w:rsidR="00C86806" w:rsidRPr="008F13E9" w:rsidRDefault="00C86806" w:rsidP="00CF1A2D">
      <w:pPr>
        <w:jc w:val="both"/>
        <w:rPr>
          <w:rFonts w:ascii="Arial" w:hAnsi="Arial" w:cs="Arial"/>
          <w:color w:val="411517"/>
        </w:rPr>
      </w:pPr>
      <w:r w:rsidRPr="008F13E9">
        <w:rPr>
          <w:rFonts w:ascii="Arial" w:hAnsi="Arial" w:cs="Arial"/>
          <w:color w:val="411517"/>
        </w:rPr>
        <w:t>Rate of agreed votes: 100%</w:t>
      </w:r>
    </w:p>
    <w:p w14:paraId="20BF18FF" w14:textId="77777777" w:rsidR="006D3B27" w:rsidRPr="008F13E9" w:rsidRDefault="00C86806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Article 4: Annual General Meeting of shareholders approves the profit distribution plan 2015 as follows:</w:t>
      </w:r>
    </w:p>
    <w:p w14:paraId="5E2EA435" w14:textId="4FCEE984" w:rsidR="00C86806" w:rsidRPr="008F13E9" w:rsidRDefault="007A0D71" w:rsidP="00CF1A2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Planned before tax profit: 126,100,000,000 dongs</w:t>
      </w:r>
    </w:p>
    <w:p w14:paraId="4F47C086" w14:textId="26F1771A" w:rsidR="007A0D71" w:rsidRPr="008F13E9" w:rsidRDefault="007A0D71" w:rsidP="00CF1A2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After tax profit 2015: 100,565,715,207 dongs</w:t>
      </w:r>
    </w:p>
    <w:p w14:paraId="2E70581F" w14:textId="12FB6F8F" w:rsidR="007A0D71" w:rsidRPr="008F13E9" w:rsidRDefault="007A0D71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4.1 Dividend payment 2015: 20% of charter capital, equivalent to 32,000,000,000 dongs</w:t>
      </w:r>
    </w:p>
    <w:p w14:paraId="4685B848" w14:textId="333FA19C" w:rsidR="007A0D71" w:rsidRPr="008F13E9" w:rsidRDefault="007A0D71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lastRenderedPageBreak/>
        <w:t>Agreed votes: 84.65%</w:t>
      </w:r>
      <w:r w:rsidRPr="008F13E9">
        <w:rPr>
          <w:rFonts w:ascii="Arial" w:hAnsi="Arial" w:cs="Arial"/>
        </w:rPr>
        <w:tab/>
      </w:r>
      <w:r w:rsidRPr="008F13E9">
        <w:rPr>
          <w:rFonts w:ascii="Arial" w:hAnsi="Arial" w:cs="Arial"/>
        </w:rPr>
        <w:tab/>
      </w:r>
      <w:r w:rsidRPr="008F13E9">
        <w:rPr>
          <w:rFonts w:ascii="Arial" w:hAnsi="Arial" w:cs="Arial"/>
        </w:rPr>
        <w:tab/>
      </w:r>
      <w:proofErr w:type="gramStart"/>
      <w:r w:rsidRPr="008F13E9">
        <w:rPr>
          <w:rFonts w:ascii="Arial" w:hAnsi="Arial" w:cs="Arial"/>
        </w:rPr>
        <w:t>Other</w:t>
      </w:r>
      <w:proofErr w:type="gramEnd"/>
      <w:r w:rsidRPr="008F13E9">
        <w:rPr>
          <w:rFonts w:ascii="Arial" w:hAnsi="Arial" w:cs="Arial"/>
        </w:rPr>
        <w:t xml:space="preserve"> votes: 15.33%</w:t>
      </w:r>
    </w:p>
    <w:p w14:paraId="2B27BA82" w14:textId="7DECD0CF" w:rsidR="007A0D71" w:rsidRPr="008F13E9" w:rsidRDefault="007A0D71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4.2 Bonus for Board of Directors, Manager Board: 50% of excess of after tax profit</w:t>
      </w:r>
    </w:p>
    <w:p w14:paraId="1FB1AAA9" w14:textId="4C901EB2" w:rsidR="007A0D71" w:rsidRPr="008F13E9" w:rsidRDefault="007A0D71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Bonus = (129,109,386,452 – 126,100,000,000) * 0.78 * 0.5</w:t>
      </w:r>
      <w:r w:rsidR="00B649AF" w:rsidRPr="008F13E9">
        <w:rPr>
          <w:rFonts w:ascii="Arial" w:hAnsi="Arial" w:cs="Arial"/>
        </w:rPr>
        <w:t xml:space="preserve"> = 1,173,660,716 dongs</w:t>
      </w:r>
    </w:p>
    <w:p w14:paraId="73F30191" w14:textId="3D84CD53" w:rsidR="00B649AF" w:rsidRPr="008F13E9" w:rsidRDefault="00B649AF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Agreed votes: 100%</w:t>
      </w:r>
    </w:p>
    <w:p w14:paraId="4FF678CA" w14:textId="3A7C1408" w:rsidR="00B649AF" w:rsidRPr="008F13E9" w:rsidRDefault="00B649AF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4.3 Wage of Board of Directors, Supervisory Board and Secretary of the company: 700,000,000 dongs</w:t>
      </w:r>
    </w:p>
    <w:p w14:paraId="00C3AB89" w14:textId="77777777" w:rsidR="00B649AF" w:rsidRPr="008F13E9" w:rsidRDefault="00B649AF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Agreed votes: 100%</w:t>
      </w:r>
    </w:p>
    <w:p w14:paraId="555F0CD4" w14:textId="06BCEC3B" w:rsidR="00B649AF" w:rsidRPr="008F13E9" w:rsidRDefault="00B649AF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4.4 Bonus and welfare fund deduction: 5% of after tax profit = 5,028,285,760 dongs</w:t>
      </w:r>
    </w:p>
    <w:p w14:paraId="18BF44F7" w14:textId="77777777" w:rsidR="00B649AF" w:rsidRPr="008F13E9" w:rsidRDefault="00B649AF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Agreed votes: 100%</w:t>
      </w:r>
    </w:p>
    <w:p w14:paraId="6D984C88" w14:textId="4751F232" w:rsidR="00B649AF" w:rsidRPr="008F13E9" w:rsidRDefault="00B649AF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4.5 Undistributed profit: 61,663,768,730 dongs, using for these targets:</w:t>
      </w:r>
    </w:p>
    <w:p w14:paraId="499A80F4" w14:textId="065C1131" w:rsidR="00B649AF" w:rsidRPr="008F13E9" w:rsidRDefault="00B649AF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 xml:space="preserve">a. Contribute capital to Clinker </w:t>
      </w:r>
      <w:proofErr w:type="spellStart"/>
      <w:r w:rsidRPr="008F13E9">
        <w:rPr>
          <w:rFonts w:ascii="Arial" w:hAnsi="Arial" w:cs="Arial"/>
        </w:rPr>
        <w:t>Viglacera</w:t>
      </w:r>
      <w:proofErr w:type="spellEnd"/>
      <w:r w:rsidRPr="008F13E9">
        <w:rPr>
          <w:rFonts w:ascii="Arial" w:hAnsi="Arial" w:cs="Arial"/>
        </w:rPr>
        <w:t xml:space="preserve"> (subsidiary): 30,000,000,000 dongs</w:t>
      </w:r>
    </w:p>
    <w:p w14:paraId="150C2CE4" w14:textId="77777777" w:rsidR="00B649AF" w:rsidRPr="008F13E9" w:rsidRDefault="00B649AF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Agreed votes: 100%</w:t>
      </w:r>
    </w:p>
    <w:p w14:paraId="2DC55509" w14:textId="7CBCEC05" w:rsidR="00B649AF" w:rsidRPr="008F13E9" w:rsidRDefault="00B649AF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 xml:space="preserve">b. Capital for the project: transforming 100% of production of building tile – phase 2 – </w:t>
      </w:r>
      <w:proofErr w:type="spellStart"/>
      <w:r w:rsidRPr="008F13E9">
        <w:rPr>
          <w:rFonts w:ascii="Arial" w:hAnsi="Arial" w:cs="Arial"/>
        </w:rPr>
        <w:t>Hoanh</w:t>
      </w:r>
      <w:proofErr w:type="spellEnd"/>
      <w:r w:rsidRPr="008F13E9">
        <w:rPr>
          <w:rFonts w:ascii="Arial" w:hAnsi="Arial" w:cs="Arial"/>
        </w:rPr>
        <w:t xml:space="preserve"> Bo Ceramic Factory and other projects: 31,660,000,000 dongs</w:t>
      </w:r>
    </w:p>
    <w:p w14:paraId="76B78262" w14:textId="77777777" w:rsidR="00B649AF" w:rsidRPr="008F13E9" w:rsidRDefault="00B649AF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Agreed votes: 100%</w:t>
      </w:r>
    </w:p>
    <w:p w14:paraId="5B4B8F14" w14:textId="3DBB7CCF" w:rsidR="00B649AF" w:rsidRPr="008F13E9" w:rsidRDefault="00B649AF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Article 5: Annual General Meeting of shareholders approves operation and investment plan of 2016 as follows:</w:t>
      </w:r>
    </w:p>
    <w:p w14:paraId="696AB555" w14:textId="621E0438" w:rsidR="00B649AF" w:rsidRPr="008F13E9" w:rsidRDefault="00B649AF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5.1 The main norms of operation plan 2016: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490"/>
        <w:gridCol w:w="1425"/>
        <w:gridCol w:w="1467"/>
        <w:gridCol w:w="1459"/>
        <w:gridCol w:w="1465"/>
      </w:tblGrid>
      <w:tr w:rsidR="00B649AF" w:rsidRPr="008F13E9" w14:paraId="761694E0" w14:textId="77777777" w:rsidTr="00B649AF">
        <w:tc>
          <w:tcPr>
            <w:tcW w:w="378" w:type="dxa"/>
          </w:tcPr>
          <w:p w14:paraId="6B95C8D8" w14:textId="3A23557A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No</w:t>
            </w:r>
          </w:p>
        </w:tc>
        <w:tc>
          <w:tcPr>
            <w:tcW w:w="2574" w:type="dxa"/>
          </w:tcPr>
          <w:p w14:paraId="6C470758" w14:textId="78930B8C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Norms</w:t>
            </w:r>
          </w:p>
        </w:tc>
        <w:tc>
          <w:tcPr>
            <w:tcW w:w="1476" w:type="dxa"/>
          </w:tcPr>
          <w:p w14:paraId="7BF1A4FD" w14:textId="3C2EFF15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Unit</w:t>
            </w:r>
          </w:p>
        </w:tc>
        <w:tc>
          <w:tcPr>
            <w:tcW w:w="1476" w:type="dxa"/>
          </w:tcPr>
          <w:p w14:paraId="00537F04" w14:textId="2D0C499C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Completed in 2015</w:t>
            </w:r>
          </w:p>
        </w:tc>
        <w:tc>
          <w:tcPr>
            <w:tcW w:w="1476" w:type="dxa"/>
          </w:tcPr>
          <w:p w14:paraId="1E3C6EBB" w14:textId="4B70AD87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Value of plan 2016</w:t>
            </w:r>
          </w:p>
        </w:tc>
        <w:tc>
          <w:tcPr>
            <w:tcW w:w="1476" w:type="dxa"/>
          </w:tcPr>
          <w:p w14:paraId="0F70D135" w14:textId="57847516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Plan 2016/2015</w:t>
            </w:r>
          </w:p>
        </w:tc>
      </w:tr>
      <w:tr w:rsidR="00B649AF" w:rsidRPr="008F13E9" w14:paraId="21D53585" w14:textId="77777777" w:rsidTr="00B649AF">
        <w:tc>
          <w:tcPr>
            <w:tcW w:w="378" w:type="dxa"/>
          </w:tcPr>
          <w:p w14:paraId="5B5A3F2C" w14:textId="0F8CBBBD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</w:t>
            </w:r>
          </w:p>
        </w:tc>
        <w:tc>
          <w:tcPr>
            <w:tcW w:w="2574" w:type="dxa"/>
          </w:tcPr>
          <w:p w14:paraId="3036671B" w14:textId="1BFD4E56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Revenue</w:t>
            </w:r>
          </w:p>
        </w:tc>
        <w:tc>
          <w:tcPr>
            <w:tcW w:w="1476" w:type="dxa"/>
          </w:tcPr>
          <w:p w14:paraId="321E54C5" w14:textId="5D8B0D6C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Million dongs</w:t>
            </w:r>
          </w:p>
        </w:tc>
        <w:tc>
          <w:tcPr>
            <w:tcW w:w="1476" w:type="dxa"/>
          </w:tcPr>
          <w:p w14:paraId="50A6DADD" w14:textId="154D1B52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1,561,482</w:t>
            </w:r>
          </w:p>
        </w:tc>
        <w:tc>
          <w:tcPr>
            <w:tcW w:w="1476" w:type="dxa"/>
          </w:tcPr>
          <w:p w14:paraId="2C272D33" w14:textId="4A1DE7EA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1,682,624</w:t>
            </w:r>
          </w:p>
        </w:tc>
        <w:tc>
          <w:tcPr>
            <w:tcW w:w="1476" w:type="dxa"/>
          </w:tcPr>
          <w:p w14:paraId="75FDB9FE" w14:textId="7856CEA7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108</w:t>
            </w:r>
          </w:p>
        </w:tc>
      </w:tr>
      <w:tr w:rsidR="00B649AF" w:rsidRPr="008F13E9" w14:paraId="3A0105F9" w14:textId="77777777" w:rsidTr="00B649AF">
        <w:tc>
          <w:tcPr>
            <w:tcW w:w="378" w:type="dxa"/>
          </w:tcPr>
          <w:p w14:paraId="0B72E6B1" w14:textId="3542C3EC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2</w:t>
            </w:r>
          </w:p>
        </w:tc>
        <w:tc>
          <w:tcPr>
            <w:tcW w:w="2574" w:type="dxa"/>
          </w:tcPr>
          <w:p w14:paraId="5208D0B1" w14:textId="5D88D449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Before tax profit</w:t>
            </w:r>
          </w:p>
        </w:tc>
        <w:tc>
          <w:tcPr>
            <w:tcW w:w="1476" w:type="dxa"/>
          </w:tcPr>
          <w:p w14:paraId="373AFF93" w14:textId="074343D8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Million dongs</w:t>
            </w:r>
          </w:p>
        </w:tc>
        <w:tc>
          <w:tcPr>
            <w:tcW w:w="1476" w:type="dxa"/>
          </w:tcPr>
          <w:p w14:paraId="6D6B8C1B" w14:textId="3A8E66D9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129,109</w:t>
            </w:r>
          </w:p>
        </w:tc>
        <w:tc>
          <w:tcPr>
            <w:tcW w:w="1476" w:type="dxa"/>
          </w:tcPr>
          <w:p w14:paraId="51EAE29E" w14:textId="040C6136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138,200</w:t>
            </w:r>
          </w:p>
        </w:tc>
        <w:tc>
          <w:tcPr>
            <w:tcW w:w="1476" w:type="dxa"/>
          </w:tcPr>
          <w:p w14:paraId="3B049626" w14:textId="69FA07F1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107</w:t>
            </w:r>
          </w:p>
        </w:tc>
      </w:tr>
      <w:tr w:rsidR="00B649AF" w:rsidRPr="008F13E9" w14:paraId="52CC19FC" w14:textId="77777777" w:rsidTr="00B649AF">
        <w:tc>
          <w:tcPr>
            <w:tcW w:w="378" w:type="dxa"/>
          </w:tcPr>
          <w:p w14:paraId="544EF6F3" w14:textId="039183AB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2.1</w:t>
            </w:r>
          </w:p>
        </w:tc>
        <w:tc>
          <w:tcPr>
            <w:tcW w:w="2574" w:type="dxa"/>
          </w:tcPr>
          <w:p w14:paraId="7464ABC7" w14:textId="01D2F109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Science – Technology Development Fund</w:t>
            </w:r>
          </w:p>
        </w:tc>
        <w:tc>
          <w:tcPr>
            <w:tcW w:w="1476" w:type="dxa"/>
          </w:tcPr>
          <w:p w14:paraId="551EF9E3" w14:textId="328EBFA9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Million dongs</w:t>
            </w:r>
          </w:p>
        </w:tc>
        <w:tc>
          <w:tcPr>
            <w:tcW w:w="1476" w:type="dxa"/>
          </w:tcPr>
          <w:p w14:paraId="20655867" w14:textId="295B9029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-</w:t>
            </w:r>
          </w:p>
        </w:tc>
        <w:tc>
          <w:tcPr>
            <w:tcW w:w="1476" w:type="dxa"/>
          </w:tcPr>
          <w:p w14:paraId="6AFD2036" w14:textId="38B63F99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12,200</w:t>
            </w:r>
          </w:p>
        </w:tc>
        <w:tc>
          <w:tcPr>
            <w:tcW w:w="1476" w:type="dxa"/>
          </w:tcPr>
          <w:p w14:paraId="0BC9ABAF" w14:textId="42B2AE18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-</w:t>
            </w:r>
          </w:p>
        </w:tc>
      </w:tr>
      <w:tr w:rsidR="00B649AF" w:rsidRPr="008F13E9" w14:paraId="47E9A88A" w14:textId="77777777" w:rsidTr="00B649AF">
        <w:tc>
          <w:tcPr>
            <w:tcW w:w="378" w:type="dxa"/>
          </w:tcPr>
          <w:p w14:paraId="7B0DC856" w14:textId="5BCD9C91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 xml:space="preserve">2.2 </w:t>
            </w:r>
          </w:p>
        </w:tc>
        <w:tc>
          <w:tcPr>
            <w:tcW w:w="2574" w:type="dxa"/>
          </w:tcPr>
          <w:p w14:paraId="5ACB8BBE" w14:textId="6EE8B946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Before tax profit of plan 2016</w:t>
            </w:r>
          </w:p>
        </w:tc>
        <w:tc>
          <w:tcPr>
            <w:tcW w:w="1476" w:type="dxa"/>
          </w:tcPr>
          <w:p w14:paraId="4DBCE5A5" w14:textId="17F15B60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Million dongs</w:t>
            </w:r>
          </w:p>
        </w:tc>
        <w:tc>
          <w:tcPr>
            <w:tcW w:w="1476" w:type="dxa"/>
          </w:tcPr>
          <w:p w14:paraId="62C2BAD0" w14:textId="214B38AF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129,498</w:t>
            </w:r>
          </w:p>
        </w:tc>
        <w:tc>
          <w:tcPr>
            <w:tcW w:w="1476" w:type="dxa"/>
          </w:tcPr>
          <w:p w14:paraId="6385AF87" w14:textId="5DCA5E00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126,000</w:t>
            </w:r>
          </w:p>
        </w:tc>
        <w:tc>
          <w:tcPr>
            <w:tcW w:w="1476" w:type="dxa"/>
          </w:tcPr>
          <w:p w14:paraId="1AABB273" w14:textId="37850A54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97.6</w:t>
            </w:r>
          </w:p>
        </w:tc>
      </w:tr>
      <w:tr w:rsidR="00B649AF" w:rsidRPr="008F13E9" w14:paraId="30685ACB" w14:textId="77777777" w:rsidTr="00B649AF">
        <w:tc>
          <w:tcPr>
            <w:tcW w:w="378" w:type="dxa"/>
          </w:tcPr>
          <w:p w14:paraId="69F389E7" w14:textId="05EA1AAD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3</w:t>
            </w:r>
          </w:p>
        </w:tc>
        <w:tc>
          <w:tcPr>
            <w:tcW w:w="2574" w:type="dxa"/>
          </w:tcPr>
          <w:p w14:paraId="3EFE3F9B" w14:textId="010E1061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Average income</w:t>
            </w:r>
          </w:p>
        </w:tc>
        <w:tc>
          <w:tcPr>
            <w:tcW w:w="1476" w:type="dxa"/>
          </w:tcPr>
          <w:p w14:paraId="3ADAEB3C" w14:textId="13970F31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1000 dongs</w:t>
            </w:r>
          </w:p>
        </w:tc>
        <w:tc>
          <w:tcPr>
            <w:tcW w:w="1476" w:type="dxa"/>
          </w:tcPr>
          <w:p w14:paraId="7B7F3309" w14:textId="252E75E3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7,100</w:t>
            </w:r>
          </w:p>
        </w:tc>
        <w:tc>
          <w:tcPr>
            <w:tcW w:w="1476" w:type="dxa"/>
          </w:tcPr>
          <w:p w14:paraId="59D5E318" w14:textId="7917927E" w:rsidR="00B649AF" w:rsidRPr="008F13E9" w:rsidRDefault="00B649AF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7,300</w:t>
            </w:r>
          </w:p>
        </w:tc>
        <w:tc>
          <w:tcPr>
            <w:tcW w:w="1476" w:type="dxa"/>
          </w:tcPr>
          <w:p w14:paraId="7D75EF40" w14:textId="5A67C160" w:rsidR="00B649AF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103</w:t>
            </w:r>
          </w:p>
        </w:tc>
      </w:tr>
      <w:tr w:rsidR="00B649AF" w:rsidRPr="008F13E9" w14:paraId="07B8084E" w14:textId="77777777" w:rsidTr="00B649AF">
        <w:tc>
          <w:tcPr>
            <w:tcW w:w="378" w:type="dxa"/>
          </w:tcPr>
          <w:p w14:paraId="2E6FF0FE" w14:textId="59727297" w:rsidR="00B649AF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4</w:t>
            </w:r>
          </w:p>
        </w:tc>
        <w:tc>
          <w:tcPr>
            <w:tcW w:w="2574" w:type="dxa"/>
          </w:tcPr>
          <w:p w14:paraId="177D128C" w14:textId="16A2E838" w:rsidR="00B649AF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Payment to State budget</w:t>
            </w:r>
          </w:p>
        </w:tc>
        <w:tc>
          <w:tcPr>
            <w:tcW w:w="1476" w:type="dxa"/>
          </w:tcPr>
          <w:p w14:paraId="343D4945" w14:textId="7C1C435C" w:rsidR="00B649AF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Million dongs</w:t>
            </w:r>
          </w:p>
        </w:tc>
        <w:tc>
          <w:tcPr>
            <w:tcW w:w="1476" w:type="dxa"/>
          </w:tcPr>
          <w:p w14:paraId="2E30AFB0" w14:textId="635126C4" w:rsidR="00B649AF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102,717</w:t>
            </w:r>
          </w:p>
        </w:tc>
        <w:tc>
          <w:tcPr>
            <w:tcW w:w="1476" w:type="dxa"/>
          </w:tcPr>
          <w:p w14:paraId="1CD0C1B1" w14:textId="3B492145" w:rsidR="00B649AF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126,570</w:t>
            </w:r>
          </w:p>
        </w:tc>
        <w:tc>
          <w:tcPr>
            <w:tcW w:w="1476" w:type="dxa"/>
          </w:tcPr>
          <w:p w14:paraId="0FA3531C" w14:textId="7F8E1566" w:rsidR="00B649AF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123</w:t>
            </w:r>
          </w:p>
        </w:tc>
      </w:tr>
      <w:tr w:rsidR="005B1989" w:rsidRPr="008F13E9" w14:paraId="1AC93F6E" w14:textId="77777777" w:rsidTr="00B649AF">
        <w:tc>
          <w:tcPr>
            <w:tcW w:w="378" w:type="dxa"/>
          </w:tcPr>
          <w:p w14:paraId="3424EA7E" w14:textId="3593125D" w:rsidR="005B1989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5</w:t>
            </w:r>
          </w:p>
        </w:tc>
        <w:tc>
          <w:tcPr>
            <w:tcW w:w="2574" w:type="dxa"/>
          </w:tcPr>
          <w:p w14:paraId="0744B29A" w14:textId="4AD6E5CE" w:rsidR="005B1989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Basic depreciation</w:t>
            </w:r>
          </w:p>
        </w:tc>
        <w:tc>
          <w:tcPr>
            <w:tcW w:w="1476" w:type="dxa"/>
          </w:tcPr>
          <w:p w14:paraId="718474B7" w14:textId="46D7A8ED" w:rsidR="005B1989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Million dongs</w:t>
            </w:r>
          </w:p>
        </w:tc>
        <w:tc>
          <w:tcPr>
            <w:tcW w:w="1476" w:type="dxa"/>
          </w:tcPr>
          <w:p w14:paraId="017E8838" w14:textId="313AF36B" w:rsidR="005B1989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66,900</w:t>
            </w:r>
          </w:p>
        </w:tc>
        <w:tc>
          <w:tcPr>
            <w:tcW w:w="1476" w:type="dxa"/>
          </w:tcPr>
          <w:p w14:paraId="6E3C8A02" w14:textId="3D9912B5" w:rsidR="005B1989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81,642</w:t>
            </w:r>
          </w:p>
        </w:tc>
        <w:tc>
          <w:tcPr>
            <w:tcW w:w="1476" w:type="dxa"/>
          </w:tcPr>
          <w:p w14:paraId="23875B60" w14:textId="346F847E" w:rsidR="005B1989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122</w:t>
            </w:r>
          </w:p>
        </w:tc>
      </w:tr>
      <w:tr w:rsidR="005B1989" w:rsidRPr="008F13E9" w14:paraId="28E06BF8" w14:textId="77777777" w:rsidTr="00B649AF">
        <w:tc>
          <w:tcPr>
            <w:tcW w:w="378" w:type="dxa"/>
          </w:tcPr>
          <w:p w14:paraId="396DFBF4" w14:textId="449ADAB1" w:rsidR="005B1989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6</w:t>
            </w:r>
          </w:p>
        </w:tc>
        <w:tc>
          <w:tcPr>
            <w:tcW w:w="2574" w:type="dxa"/>
          </w:tcPr>
          <w:p w14:paraId="4B678C97" w14:textId="5859323A" w:rsidR="005B1989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Depreciation of big reparations</w:t>
            </w:r>
          </w:p>
        </w:tc>
        <w:tc>
          <w:tcPr>
            <w:tcW w:w="1476" w:type="dxa"/>
          </w:tcPr>
          <w:p w14:paraId="5E896B99" w14:textId="5F902325" w:rsidR="005B1989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Million dongs</w:t>
            </w:r>
          </w:p>
        </w:tc>
        <w:tc>
          <w:tcPr>
            <w:tcW w:w="1476" w:type="dxa"/>
          </w:tcPr>
          <w:p w14:paraId="58F1B841" w14:textId="37A1311C" w:rsidR="005B1989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51,278</w:t>
            </w:r>
          </w:p>
        </w:tc>
        <w:tc>
          <w:tcPr>
            <w:tcW w:w="1476" w:type="dxa"/>
          </w:tcPr>
          <w:p w14:paraId="4C367020" w14:textId="3DE5E3E0" w:rsidR="005B1989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35,470</w:t>
            </w:r>
          </w:p>
        </w:tc>
        <w:tc>
          <w:tcPr>
            <w:tcW w:w="1476" w:type="dxa"/>
          </w:tcPr>
          <w:p w14:paraId="5F7865A6" w14:textId="3763E703" w:rsidR="005B1989" w:rsidRPr="008F13E9" w:rsidRDefault="005B198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69</w:t>
            </w:r>
          </w:p>
        </w:tc>
      </w:tr>
    </w:tbl>
    <w:p w14:paraId="5CAFDF7F" w14:textId="77777777" w:rsidR="00B649AF" w:rsidRPr="008F13E9" w:rsidRDefault="00B649AF" w:rsidP="00CF1A2D">
      <w:pPr>
        <w:jc w:val="both"/>
        <w:rPr>
          <w:rFonts w:ascii="Arial" w:hAnsi="Arial" w:cs="Arial"/>
        </w:rPr>
      </w:pPr>
    </w:p>
    <w:p w14:paraId="50E77FEF" w14:textId="77777777" w:rsidR="00443B79" w:rsidRPr="008F13E9" w:rsidRDefault="00443B79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Agreed votes: 100%</w:t>
      </w:r>
    </w:p>
    <w:p w14:paraId="7CC56DAD" w14:textId="665BEFFF" w:rsidR="00B649AF" w:rsidRPr="008F13E9" w:rsidRDefault="00443B79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5.2 Profit distribution plan 2016:</w:t>
      </w:r>
    </w:p>
    <w:p w14:paraId="5C23D980" w14:textId="1FC48FF6" w:rsidR="00443B79" w:rsidRPr="008F13E9" w:rsidRDefault="00443B79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- Minimum rate of dividend: 20% of charter capital</w:t>
      </w:r>
      <w:r w:rsidRPr="008F13E9">
        <w:rPr>
          <w:rFonts w:ascii="Arial" w:hAnsi="Arial" w:cs="Arial"/>
        </w:rPr>
        <w:tab/>
      </w:r>
    </w:p>
    <w:p w14:paraId="7012E413" w14:textId="18393E59" w:rsidR="00443B79" w:rsidRPr="008F13E9" w:rsidRDefault="00443B79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- Bonus for completing the plan: 50% of the excess of after tax 2016</w:t>
      </w:r>
    </w:p>
    <w:p w14:paraId="52D388F0" w14:textId="60584579" w:rsidR="00443B79" w:rsidRPr="008F13E9" w:rsidRDefault="00443B79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- Payment for wage of Board of Directors, Supervisory Board, Secretary of the company in 2016: 700,000,000 dongs</w:t>
      </w:r>
    </w:p>
    <w:p w14:paraId="356E0B00" w14:textId="77777777" w:rsidR="00443B79" w:rsidRPr="008F13E9" w:rsidRDefault="00443B79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Agreed votes: 100%</w:t>
      </w:r>
    </w:p>
    <w:p w14:paraId="7313F985" w14:textId="284F56B8" w:rsidR="00443B79" w:rsidRPr="008F13E9" w:rsidRDefault="00443B79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5.3 Basic construction investment plan 2016</w:t>
      </w:r>
    </w:p>
    <w:p w14:paraId="5AB5581C" w14:textId="77777777" w:rsidR="00443B79" w:rsidRPr="008F13E9" w:rsidRDefault="00443B79" w:rsidP="00CF1A2D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502"/>
        <w:gridCol w:w="1443"/>
        <w:gridCol w:w="1448"/>
        <w:gridCol w:w="1469"/>
        <w:gridCol w:w="1470"/>
      </w:tblGrid>
      <w:tr w:rsidR="00443B79" w:rsidRPr="008F13E9" w14:paraId="09A3F86F" w14:textId="77777777" w:rsidTr="00443B79">
        <w:tc>
          <w:tcPr>
            <w:tcW w:w="507" w:type="dxa"/>
          </w:tcPr>
          <w:p w14:paraId="15535D78" w14:textId="4EF8EE42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No</w:t>
            </w:r>
          </w:p>
        </w:tc>
        <w:tc>
          <w:tcPr>
            <w:tcW w:w="2510" w:type="dxa"/>
          </w:tcPr>
          <w:p w14:paraId="3A357C44" w14:textId="3ED936D0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Projects</w:t>
            </w:r>
          </w:p>
        </w:tc>
        <w:tc>
          <w:tcPr>
            <w:tcW w:w="1447" w:type="dxa"/>
          </w:tcPr>
          <w:p w14:paraId="30ED14F8" w14:textId="2E18A56D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Unit</w:t>
            </w:r>
          </w:p>
        </w:tc>
        <w:tc>
          <w:tcPr>
            <w:tcW w:w="1451" w:type="dxa"/>
          </w:tcPr>
          <w:p w14:paraId="124A46E3" w14:textId="46160ECB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Volume</w:t>
            </w:r>
          </w:p>
        </w:tc>
        <w:tc>
          <w:tcPr>
            <w:tcW w:w="1470" w:type="dxa"/>
          </w:tcPr>
          <w:p w14:paraId="468E2F4E" w14:textId="57425A16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Forwarded from 2015</w:t>
            </w:r>
          </w:p>
        </w:tc>
        <w:tc>
          <w:tcPr>
            <w:tcW w:w="1471" w:type="dxa"/>
          </w:tcPr>
          <w:p w14:paraId="57B9B00E" w14:textId="01E8D2E6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Investment plan 2016</w:t>
            </w:r>
          </w:p>
        </w:tc>
      </w:tr>
      <w:tr w:rsidR="00443B79" w:rsidRPr="008F13E9" w14:paraId="4CC81AFB" w14:textId="77777777" w:rsidTr="00443B79">
        <w:tc>
          <w:tcPr>
            <w:tcW w:w="507" w:type="dxa"/>
          </w:tcPr>
          <w:p w14:paraId="727E6AA6" w14:textId="5BEF7CF9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A</w:t>
            </w:r>
          </w:p>
        </w:tc>
        <w:tc>
          <w:tcPr>
            <w:tcW w:w="2510" w:type="dxa"/>
          </w:tcPr>
          <w:p w14:paraId="76CE6893" w14:textId="0D9A37E0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Investment in assets</w:t>
            </w:r>
          </w:p>
        </w:tc>
        <w:tc>
          <w:tcPr>
            <w:tcW w:w="1447" w:type="dxa"/>
          </w:tcPr>
          <w:p w14:paraId="678EBC6C" w14:textId="3E0B77F3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Million dongs</w:t>
            </w:r>
          </w:p>
        </w:tc>
        <w:tc>
          <w:tcPr>
            <w:tcW w:w="1451" w:type="dxa"/>
          </w:tcPr>
          <w:p w14:paraId="69DF6029" w14:textId="77777777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3978F86F" w14:textId="68F33BD9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13,725</w:t>
            </w:r>
          </w:p>
        </w:tc>
        <w:tc>
          <w:tcPr>
            <w:tcW w:w="1471" w:type="dxa"/>
          </w:tcPr>
          <w:p w14:paraId="70DF979B" w14:textId="564BEFB0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47,685</w:t>
            </w:r>
          </w:p>
        </w:tc>
      </w:tr>
      <w:tr w:rsidR="00443B79" w:rsidRPr="008F13E9" w14:paraId="08F88D6A" w14:textId="77777777" w:rsidTr="00443B79">
        <w:tc>
          <w:tcPr>
            <w:tcW w:w="507" w:type="dxa"/>
          </w:tcPr>
          <w:p w14:paraId="33BFEAD2" w14:textId="3A371671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I</w:t>
            </w:r>
          </w:p>
        </w:tc>
        <w:tc>
          <w:tcPr>
            <w:tcW w:w="2510" w:type="dxa"/>
          </w:tcPr>
          <w:p w14:paraId="64A059BF" w14:textId="6E64CF47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proofErr w:type="spellStart"/>
            <w:r w:rsidRPr="008F13E9">
              <w:rPr>
                <w:rFonts w:ascii="Arial" w:hAnsi="Arial" w:cs="Arial"/>
              </w:rPr>
              <w:t>Tieu</w:t>
            </w:r>
            <w:proofErr w:type="spellEnd"/>
            <w:r w:rsidRPr="008F13E9">
              <w:rPr>
                <w:rFonts w:ascii="Arial" w:hAnsi="Arial" w:cs="Arial"/>
              </w:rPr>
              <w:t xml:space="preserve"> </w:t>
            </w:r>
            <w:proofErr w:type="spellStart"/>
            <w:r w:rsidRPr="008F13E9">
              <w:rPr>
                <w:rFonts w:ascii="Arial" w:hAnsi="Arial" w:cs="Arial"/>
              </w:rPr>
              <w:t>Giao</w:t>
            </w:r>
            <w:proofErr w:type="spellEnd"/>
            <w:r w:rsidRPr="008F13E9">
              <w:rPr>
                <w:rFonts w:ascii="Arial" w:hAnsi="Arial" w:cs="Arial"/>
              </w:rPr>
              <w:t xml:space="preserve"> Ceramic Factory</w:t>
            </w:r>
          </w:p>
        </w:tc>
        <w:tc>
          <w:tcPr>
            <w:tcW w:w="1447" w:type="dxa"/>
          </w:tcPr>
          <w:p w14:paraId="769FDDF5" w14:textId="4E5EF6C9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Million dongs</w:t>
            </w:r>
          </w:p>
        </w:tc>
        <w:tc>
          <w:tcPr>
            <w:tcW w:w="1451" w:type="dxa"/>
          </w:tcPr>
          <w:p w14:paraId="6E12FD95" w14:textId="77777777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69972773" w14:textId="77777777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1" w:type="dxa"/>
          </w:tcPr>
          <w:p w14:paraId="66D15D63" w14:textId="2C70DC04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9,103</w:t>
            </w:r>
          </w:p>
        </w:tc>
      </w:tr>
      <w:tr w:rsidR="00443B79" w:rsidRPr="008F13E9" w14:paraId="4DBCBA5C" w14:textId="77777777" w:rsidTr="00443B79">
        <w:tc>
          <w:tcPr>
            <w:tcW w:w="507" w:type="dxa"/>
          </w:tcPr>
          <w:p w14:paraId="4255C4F1" w14:textId="00B55DCC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II</w:t>
            </w:r>
          </w:p>
        </w:tc>
        <w:tc>
          <w:tcPr>
            <w:tcW w:w="2510" w:type="dxa"/>
          </w:tcPr>
          <w:p w14:paraId="6F713C8C" w14:textId="48DC1481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proofErr w:type="spellStart"/>
            <w:r w:rsidRPr="008F13E9">
              <w:rPr>
                <w:rFonts w:ascii="Arial" w:hAnsi="Arial" w:cs="Arial"/>
              </w:rPr>
              <w:t>Hoanh</w:t>
            </w:r>
            <w:proofErr w:type="spellEnd"/>
            <w:r w:rsidRPr="008F13E9">
              <w:rPr>
                <w:rFonts w:ascii="Arial" w:hAnsi="Arial" w:cs="Arial"/>
              </w:rPr>
              <w:t xml:space="preserve"> Bo Ceramic Factory</w:t>
            </w:r>
          </w:p>
        </w:tc>
        <w:tc>
          <w:tcPr>
            <w:tcW w:w="1447" w:type="dxa"/>
          </w:tcPr>
          <w:p w14:paraId="662CAF62" w14:textId="39FAE4F0" w:rsidR="00443B79" w:rsidRPr="008F13E9" w:rsidRDefault="00443B79" w:rsidP="00CF1A2D">
            <w:pPr>
              <w:jc w:val="both"/>
              <w:rPr>
                <w:rFonts w:ascii="Arial" w:hAnsi="Arial" w:cs="Arial"/>
                <w:b/>
              </w:rPr>
            </w:pPr>
            <w:r w:rsidRPr="008F13E9">
              <w:rPr>
                <w:rFonts w:ascii="Arial" w:hAnsi="Arial" w:cs="Arial"/>
              </w:rPr>
              <w:t>Million dongs</w:t>
            </w:r>
          </w:p>
        </w:tc>
        <w:tc>
          <w:tcPr>
            <w:tcW w:w="1451" w:type="dxa"/>
          </w:tcPr>
          <w:p w14:paraId="5B512B6D" w14:textId="77777777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53FBD2DB" w14:textId="77777777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1" w:type="dxa"/>
          </w:tcPr>
          <w:p w14:paraId="7ED508BA" w14:textId="692DABC5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34,860</w:t>
            </w:r>
          </w:p>
        </w:tc>
      </w:tr>
      <w:tr w:rsidR="00443B79" w:rsidRPr="008F13E9" w14:paraId="191CC16A" w14:textId="77777777" w:rsidTr="00443B79">
        <w:tc>
          <w:tcPr>
            <w:tcW w:w="507" w:type="dxa"/>
          </w:tcPr>
          <w:p w14:paraId="5C463FC0" w14:textId="18238394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III</w:t>
            </w:r>
          </w:p>
        </w:tc>
        <w:tc>
          <w:tcPr>
            <w:tcW w:w="2510" w:type="dxa"/>
          </w:tcPr>
          <w:p w14:paraId="0E088AE9" w14:textId="257B8488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proofErr w:type="spellStart"/>
            <w:r w:rsidRPr="008F13E9">
              <w:rPr>
                <w:rFonts w:ascii="Arial" w:hAnsi="Arial" w:cs="Arial"/>
              </w:rPr>
              <w:t>Cotto</w:t>
            </w:r>
            <w:proofErr w:type="spellEnd"/>
            <w:r w:rsidRPr="008F13E9">
              <w:rPr>
                <w:rFonts w:ascii="Arial" w:hAnsi="Arial" w:cs="Arial"/>
              </w:rPr>
              <w:t xml:space="preserve"> GD Ceramic Factory</w:t>
            </w:r>
          </w:p>
        </w:tc>
        <w:tc>
          <w:tcPr>
            <w:tcW w:w="1447" w:type="dxa"/>
          </w:tcPr>
          <w:p w14:paraId="78C5BE2B" w14:textId="169EAB10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Million dongs</w:t>
            </w:r>
          </w:p>
        </w:tc>
        <w:tc>
          <w:tcPr>
            <w:tcW w:w="1451" w:type="dxa"/>
          </w:tcPr>
          <w:p w14:paraId="551D7A4C" w14:textId="77777777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66E9870E" w14:textId="60153FA1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13,725</w:t>
            </w:r>
          </w:p>
        </w:tc>
        <w:tc>
          <w:tcPr>
            <w:tcW w:w="1471" w:type="dxa"/>
          </w:tcPr>
          <w:p w14:paraId="27EF0EEF" w14:textId="2A36F3E2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3,722</w:t>
            </w:r>
          </w:p>
        </w:tc>
      </w:tr>
      <w:tr w:rsidR="00443B79" w:rsidRPr="008F13E9" w14:paraId="4CFE09F3" w14:textId="77777777" w:rsidTr="00443B79">
        <w:tc>
          <w:tcPr>
            <w:tcW w:w="507" w:type="dxa"/>
          </w:tcPr>
          <w:p w14:paraId="7F34CA22" w14:textId="1936EA43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B</w:t>
            </w:r>
          </w:p>
        </w:tc>
        <w:tc>
          <w:tcPr>
            <w:tcW w:w="2510" w:type="dxa"/>
          </w:tcPr>
          <w:p w14:paraId="273B7742" w14:textId="6AC5D8EA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Investment (not in asset)</w:t>
            </w:r>
          </w:p>
        </w:tc>
        <w:tc>
          <w:tcPr>
            <w:tcW w:w="1447" w:type="dxa"/>
          </w:tcPr>
          <w:p w14:paraId="2F5AF106" w14:textId="71533DD4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Million dongs</w:t>
            </w:r>
          </w:p>
        </w:tc>
        <w:tc>
          <w:tcPr>
            <w:tcW w:w="1451" w:type="dxa"/>
          </w:tcPr>
          <w:p w14:paraId="4EDD490C" w14:textId="77777777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1A483158" w14:textId="2177E35B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2,800</w:t>
            </w:r>
          </w:p>
        </w:tc>
        <w:tc>
          <w:tcPr>
            <w:tcW w:w="1471" w:type="dxa"/>
          </w:tcPr>
          <w:p w14:paraId="5E99CA98" w14:textId="77777777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</w:p>
        </w:tc>
      </w:tr>
      <w:tr w:rsidR="00443B79" w:rsidRPr="008F13E9" w14:paraId="75DA338F" w14:textId="77777777" w:rsidTr="00443B79">
        <w:tc>
          <w:tcPr>
            <w:tcW w:w="507" w:type="dxa"/>
          </w:tcPr>
          <w:p w14:paraId="48D09C39" w14:textId="0F59DEEC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I</w:t>
            </w:r>
          </w:p>
        </w:tc>
        <w:tc>
          <w:tcPr>
            <w:tcW w:w="2510" w:type="dxa"/>
          </w:tcPr>
          <w:p w14:paraId="06061499" w14:textId="05C9B471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 xml:space="preserve">Capital contribution to build the road of </w:t>
            </w:r>
            <w:proofErr w:type="spellStart"/>
            <w:r w:rsidRPr="008F13E9">
              <w:rPr>
                <w:rFonts w:ascii="Arial" w:hAnsi="Arial" w:cs="Arial"/>
              </w:rPr>
              <w:t>Hoanh</w:t>
            </w:r>
            <w:proofErr w:type="spellEnd"/>
            <w:r w:rsidRPr="008F13E9">
              <w:rPr>
                <w:rFonts w:ascii="Arial" w:hAnsi="Arial" w:cs="Arial"/>
              </w:rPr>
              <w:t xml:space="preserve"> Bo Ceramic Factory</w:t>
            </w:r>
          </w:p>
        </w:tc>
        <w:tc>
          <w:tcPr>
            <w:tcW w:w="1447" w:type="dxa"/>
          </w:tcPr>
          <w:p w14:paraId="3250D58C" w14:textId="0E7006CF" w:rsidR="00443B79" w:rsidRPr="008F13E9" w:rsidRDefault="001B1C94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Million dongs</w:t>
            </w:r>
          </w:p>
        </w:tc>
        <w:tc>
          <w:tcPr>
            <w:tcW w:w="1451" w:type="dxa"/>
          </w:tcPr>
          <w:p w14:paraId="621D3CE4" w14:textId="77777777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16B5D949" w14:textId="7AC1E0AD" w:rsidR="00443B79" w:rsidRPr="008F13E9" w:rsidRDefault="001B1C94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2,800</w:t>
            </w:r>
          </w:p>
        </w:tc>
        <w:tc>
          <w:tcPr>
            <w:tcW w:w="1471" w:type="dxa"/>
          </w:tcPr>
          <w:p w14:paraId="595D92EB" w14:textId="77777777" w:rsidR="00443B79" w:rsidRPr="008F13E9" w:rsidRDefault="00443B79" w:rsidP="00CF1A2D">
            <w:pPr>
              <w:jc w:val="both"/>
              <w:rPr>
                <w:rFonts w:ascii="Arial" w:hAnsi="Arial" w:cs="Arial"/>
              </w:rPr>
            </w:pPr>
          </w:p>
        </w:tc>
      </w:tr>
      <w:tr w:rsidR="001B1C94" w:rsidRPr="008F13E9" w14:paraId="64C4A663" w14:textId="77777777" w:rsidTr="00443B79">
        <w:tc>
          <w:tcPr>
            <w:tcW w:w="507" w:type="dxa"/>
          </w:tcPr>
          <w:p w14:paraId="4C9BA3DD" w14:textId="6730151B" w:rsidR="001B1C94" w:rsidRPr="008F13E9" w:rsidRDefault="001B1C94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C</w:t>
            </w:r>
          </w:p>
        </w:tc>
        <w:tc>
          <w:tcPr>
            <w:tcW w:w="2510" w:type="dxa"/>
          </w:tcPr>
          <w:p w14:paraId="09EA22C4" w14:textId="23208D9D" w:rsidR="001B1C94" w:rsidRPr="008F13E9" w:rsidRDefault="001B1C94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 xml:space="preserve">Research, prepare for the Phase 3 of Clinker </w:t>
            </w:r>
            <w:proofErr w:type="spellStart"/>
            <w:r w:rsidRPr="008F13E9">
              <w:rPr>
                <w:rFonts w:ascii="Arial" w:hAnsi="Arial" w:cs="Arial"/>
              </w:rPr>
              <w:t>Vigracera</w:t>
            </w:r>
            <w:proofErr w:type="spellEnd"/>
            <w:r w:rsidRPr="008F13E9">
              <w:rPr>
                <w:rFonts w:ascii="Arial" w:hAnsi="Arial" w:cs="Arial"/>
              </w:rPr>
              <w:t xml:space="preserve"> Ceramic JSC</w:t>
            </w:r>
          </w:p>
        </w:tc>
        <w:tc>
          <w:tcPr>
            <w:tcW w:w="1447" w:type="dxa"/>
          </w:tcPr>
          <w:p w14:paraId="76447CA3" w14:textId="77777777" w:rsidR="001B1C94" w:rsidRPr="008F13E9" w:rsidRDefault="001B1C94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3C6E6556" w14:textId="77777777" w:rsidR="001B1C94" w:rsidRPr="008F13E9" w:rsidRDefault="001B1C94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72327246" w14:textId="77777777" w:rsidR="001B1C94" w:rsidRPr="008F13E9" w:rsidRDefault="001B1C94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1" w:type="dxa"/>
          </w:tcPr>
          <w:p w14:paraId="1456E610" w14:textId="77777777" w:rsidR="001B1C94" w:rsidRPr="008F13E9" w:rsidRDefault="001B1C94" w:rsidP="00CF1A2D">
            <w:pPr>
              <w:jc w:val="both"/>
              <w:rPr>
                <w:rFonts w:ascii="Arial" w:hAnsi="Arial" w:cs="Arial"/>
              </w:rPr>
            </w:pPr>
          </w:p>
        </w:tc>
      </w:tr>
      <w:tr w:rsidR="001B1C94" w:rsidRPr="008F13E9" w14:paraId="70186750" w14:textId="77777777" w:rsidTr="00443B79">
        <w:tc>
          <w:tcPr>
            <w:tcW w:w="507" w:type="dxa"/>
          </w:tcPr>
          <w:p w14:paraId="3F9EFA1D" w14:textId="77777777" w:rsidR="001B1C94" w:rsidRPr="008F13E9" w:rsidRDefault="001B1C94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0" w:type="dxa"/>
          </w:tcPr>
          <w:p w14:paraId="50EE0F3D" w14:textId="73404C17" w:rsidR="001B1C94" w:rsidRPr="008F13E9" w:rsidRDefault="001B1C94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Total</w:t>
            </w:r>
          </w:p>
        </w:tc>
        <w:tc>
          <w:tcPr>
            <w:tcW w:w="1447" w:type="dxa"/>
          </w:tcPr>
          <w:p w14:paraId="57CB75CB" w14:textId="77777777" w:rsidR="001B1C94" w:rsidRPr="008F13E9" w:rsidRDefault="001B1C94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3372D665" w14:textId="77777777" w:rsidR="001B1C94" w:rsidRPr="008F13E9" w:rsidRDefault="001B1C94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5797BEE0" w14:textId="04B3FB15" w:rsidR="001B1C94" w:rsidRPr="008F13E9" w:rsidRDefault="001B1C94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16,525</w:t>
            </w:r>
          </w:p>
        </w:tc>
        <w:tc>
          <w:tcPr>
            <w:tcW w:w="1471" w:type="dxa"/>
          </w:tcPr>
          <w:p w14:paraId="73827D93" w14:textId="07B3F753" w:rsidR="001B1C94" w:rsidRPr="008F13E9" w:rsidRDefault="001B1C94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47,685</w:t>
            </w:r>
          </w:p>
        </w:tc>
      </w:tr>
      <w:tr w:rsidR="001B1C94" w:rsidRPr="008F13E9" w14:paraId="3CE4F1D7" w14:textId="77777777" w:rsidTr="00FB547D">
        <w:tc>
          <w:tcPr>
            <w:tcW w:w="507" w:type="dxa"/>
          </w:tcPr>
          <w:p w14:paraId="3CFDDDD9" w14:textId="77777777" w:rsidR="001B1C94" w:rsidRPr="008F13E9" w:rsidRDefault="001B1C94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0" w:type="dxa"/>
          </w:tcPr>
          <w:p w14:paraId="723492B0" w14:textId="77777777" w:rsidR="001B1C94" w:rsidRPr="008F13E9" w:rsidRDefault="001B1C94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65EC675E" w14:textId="77777777" w:rsidR="001B1C94" w:rsidRPr="008F13E9" w:rsidRDefault="001B1C94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39465DB0" w14:textId="77777777" w:rsidR="001B1C94" w:rsidRPr="008F13E9" w:rsidRDefault="001B1C94" w:rsidP="00CF1A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</w:tcPr>
          <w:p w14:paraId="14E8AA96" w14:textId="074D47D5" w:rsidR="001B1C94" w:rsidRPr="008F13E9" w:rsidRDefault="001B1C94" w:rsidP="00CF1A2D">
            <w:pPr>
              <w:jc w:val="both"/>
              <w:rPr>
                <w:rFonts w:ascii="Arial" w:hAnsi="Arial" w:cs="Arial"/>
              </w:rPr>
            </w:pPr>
            <w:r w:rsidRPr="008F13E9">
              <w:rPr>
                <w:rFonts w:ascii="Arial" w:hAnsi="Arial" w:cs="Arial"/>
              </w:rPr>
              <w:t>64,210</w:t>
            </w:r>
          </w:p>
        </w:tc>
      </w:tr>
    </w:tbl>
    <w:p w14:paraId="7D4FFF4E" w14:textId="77777777" w:rsidR="00CF1A2D" w:rsidRPr="008F13E9" w:rsidRDefault="00CF1A2D" w:rsidP="00CF1A2D">
      <w:pPr>
        <w:jc w:val="both"/>
        <w:rPr>
          <w:rFonts w:ascii="Arial" w:hAnsi="Arial" w:cs="Arial"/>
        </w:rPr>
      </w:pPr>
    </w:p>
    <w:p w14:paraId="3A4947AC" w14:textId="1CF4FB0E" w:rsidR="00443B79" w:rsidRPr="008F13E9" w:rsidRDefault="00CF1A2D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 xml:space="preserve">Article 6: Annual General Meeting of shareholders approve contributing capital into </w:t>
      </w:r>
      <w:proofErr w:type="spellStart"/>
      <w:r w:rsidRPr="008F13E9">
        <w:rPr>
          <w:rFonts w:ascii="Arial" w:hAnsi="Arial" w:cs="Arial"/>
        </w:rPr>
        <w:t>Quang</w:t>
      </w:r>
      <w:proofErr w:type="spellEnd"/>
      <w:r w:rsidRPr="008F13E9">
        <w:rPr>
          <w:rFonts w:ascii="Arial" w:hAnsi="Arial" w:cs="Arial"/>
        </w:rPr>
        <w:t xml:space="preserve"> </w:t>
      </w:r>
      <w:proofErr w:type="spellStart"/>
      <w:r w:rsidRPr="008F13E9">
        <w:rPr>
          <w:rFonts w:ascii="Arial" w:hAnsi="Arial" w:cs="Arial"/>
        </w:rPr>
        <w:t>Ninh</w:t>
      </w:r>
      <w:proofErr w:type="spellEnd"/>
      <w:r w:rsidRPr="008F13E9">
        <w:rPr>
          <w:rFonts w:ascii="Arial" w:hAnsi="Arial" w:cs="Arial"/>
        </w:rPr>
        <w:t xml:space="preserve"> Import – Export and Sea Carriage Joint Stock Company to establish </w:t>
      </w:r>
      <w:proofErr w:type="spellStart"/>
      <w:r w:rsidRPr="008F13E9">
        <w:rPr>
          <w:rFonts w:ascii="Arial" w:hAnsi="Arial" w:cs="Arial"/>
        </w:rPr>
        <w:t>Gieng</w:t>
      </w:r>
      <w:proofErr w:type="spellEnd"/>
      <w:r w:rsidRPr="008F13E9">
        <w:rPr>
          <w:rFonts w:ascii="Arial" w:hAnsi="Arial" w:cs="Arial"/>
        </w:rPr>
        <w:t xml:space="preserve"> Day 2 Ceramic Factory, with the rate of capital contribution over 40%, maximum 25 billion dongs.</w:t>
      </w:r>
    </w:p>
    <w:p w14:paraId="01024E86" w14:textId="0546F915" w:rsidR="00CF1A2D" w:rsidRPr="008F13E9" w:rsidRDefault="00CF1A2D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Article 7: Annual General Meeting of shareholders approve authorizing Board of Directors to check, adjust the company charter matching with regulations of law and direction documents of authorities.</w:t>
      </w:r>
    </w:p>
    <w:p w14:paraId="192A4287" w14:textId="359AB399" w:rsidR="00CF1A2D" w:rsidRPr="008F13E9" w:rsidRDefault="00CF1A2D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 xml:space="preserve">Article 8: Annual General Meeting of shareholders </w:t>
      </w:r>
      <w:proofErr w:type="gramStart"/>
      <w:r w:rsidRPr="008F13E9">
        <w:rPr>
          <w:rFonts w:ascii="Arial" w:hAnsi="Arial" w:cs="Arial"/>
        </w:rPr>
        <w:t>approve</w:t>
      </w:r>
      <w:proofErr w:type="gramEnd"/>
      <w:r w:rsidRPr="008F13E9">
        <w:rPr>
          <w:rFonts w:ascii="Arial" w:hAnsi="Arial" w:cs="Arial"/>
        </w:rPr>
        <w:t xml:space="preserve"> authorizing Board of Directors to choose auditing company in the list accepted by State Securities Committee.</w:t>
      </w:r>
    </w:p>
    <w:p w14:paraId="555B961D" w14:textId="0184FADC" w:rsidR="00CF1A2D" w:rsidRPr="008F13E9" w:rsidRDefault="00CF1A2D" w:rsidP="00CF1A2D">
      <w:pPr>
        <w:jc w:val="both"/>
        <w:rPr>
          <w:rFonts w:ascii="Arial" w:hAnsi="Arial" w:cs="Arial"/>
        </w:rPr>
      </w:pPr>
      <w:r w:rsidRPr="008F13E9">
        <w:rPr>
          <w:rFonts w:ascii="Arial" w:hAnsi="Arial" w:cs="Arial"/>
        </w:rPr>
        <w:t>Article 9: Enforcement</w:t>
      </w:r>
    </w:p>
    <w:p w14:paraId="799919F0" w14:textId="37C06004" w:rsidR="00CF1A2D" w:rsidRPr="008F13E9" w:rsidRDefault="00CF1A2D" w:rsidP="00CF1A2D">
      <w:pPr>
        <w:jc w:val="both"/>
        <w:rPr>
          <w:rFonts w:ascii="Arial" w:hAnsi="Arial" w:cs="Arial"/>
          <w:color w:val="411517"/>
        </w:rPr>
      </w:pPr>
      <w:r w:rsidRPr="008F13E9">
        <w:rPr>
          <w:rFonts w:ascii="Arial" w:hAnsi="Arial" w:cs="Arial"/>
        </w:rPr>
        <w:t xml:space="preserve">Annual General Meeting of shareholders 2016 of </w:t>
      </w:r>
      <w:proofErr w:type="spellStart"/>
      <w:r w:rsidRPr="008F13E9">
        <w:rPr>
          <w:rFonts w:ascii="Arial" w:hAnsi="Arial" w:cs="Arial"/>
          <w:color w:val="411517"/>
        </w:rPr>
        <w:t>Viglacera</w:t>
      </w:r>
      <w:proofErr w:type="spellEnd"/>
      <w:r w:rsidRPr="008F13E9">
        <w:rPr>
          <w:rFonts w:ascii="Arial" w:hAnsi="Arial" w:cs="Arial"/>
          <w:color w:val="411517"/>
        </w:rPr>
        <w:t xml:space="preserve"> Ha Long JSC</w:t>
      </w:r>
      <w:r w:rsidRPr="008F13E9">
        <w:rPr>
          <w:rFonts w:ascii="Arial" w:hAnsi="Arial" w:cs="Arial"/>
          <w:color w:val="411517"/>
        </w:rPr>
        <w:t xml:space="preserve"> approved this Mandate that takes effect from 29/03/2016.</w:t>
      </w:r>
    </w:p>
    <w:p w14:paraId="139434F5" w14:textId="4BDF47BD" w:rsidR="00CF1A2D" w:rsidRPr="008F13E9" w:rsidRDefault="00CF1A2D" w:rsidP="00CF1A2D">
      <w:pPr>
        <w:jc w:val="both"/>
        <w:rPr>
          <w:rFonts w:ascii="Arial" w:hAnsi="Arial" w:cs="Arial"/>
          <w:color w:val="411517"/>
        </w:rPr>
      </w:pPr>
      <w:r w:rsidRPr="008F13E9">
        <w:rPr>
          <w:rFonts w:ascii="Arial" w:hAnsi="Arial" w:cs="Arial"/>
          <w:color w:val="411517"/>
        </w:rPr>
        <w:t>Annual General Meeting of shareholders authorizes Board of Directors, General Manager Board to implement this Mandate.</w:t>
      </w:r>
    </w:p>
    <w:p w14:paraId="2345E7EE" w14:textId="77777777" w:rsidR="00CF1A2D" w:rsidRPr="008F13E9" w:rsidRDefault="00CF1A2D" w:rsidP="00CF1A2D">
      <w:pPr>
        <w:jc w:val="both"/>
        <w:rPr>
          <w:rFonts w:ascii="Arial" w:hAnsi="Arial" w:cs="Arial"/>
        </w:rPr>
      </w:pPr>
    </w:p>
    <w:sectPr w:rsidR="00CF1A2D" w:rsidRPr="008F13E9" w:rsidSect="00303D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B2318"/>
    <w:multiLevelType w:val="hybridMultilevel"/>
    <w:tmpl w:val="3DB48800"/>
    <w:lvl w:ilvl="0" w:tplc="FEF468A0">
      <w:start w:val="10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34"/>
    <w:rsid w:val="001B1C94"/>
    <w:rsid w:val="00303D38"/>
    <w:rsid w:val="00443B79"/>
    <w:rsid w:val="004C5981"/>
    <w:rsid w:val="005B1989"/>
    <w:rsid w:val="006D3B27"/>
    <w:rsid w:val="007A0D71"/>
    <w:rsid w:val="008F13E9"/>
    <w:rsid w:val="00B649AF"/>
    <w:rsid w:val="00C86806"/>
    <w:rsid w:val="00CC4534"/>
    <w:rsid w:val="00C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77D3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0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735</Words>
  <Characters>4190</Characters>
  <Application>Microsoft Macintosh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candy</dc:creator>
  <cp:keywords/>
  <dc:description/>
  <cp:lastModifiedBy>sweet candy</cp:lastModifiedBy>
  <cp:revision>6</cp:revision>
  <dcterms:created xsi:type="dcterms:W3CDTF">2016-03-31T06:38:00Z</dcterms:created>
  <dcterms:modified xsi:type="dcterms:W3CDTF">2016-03-31T07:27:00Z</dcterms:modified>
</cp:coreProperties>
</file>